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F3CC4" w14:textId="05AD7C17" w:rsidR="007A0EA7" w:rsidRPr="00CD4DAC" w:rsidRDefault="007A0EA7" w:rsidP="0027282E">
      <w:pPr>
        <w:pStyle w:val="NormlWeb"/>
        <w:spacing w:line="276" w:lineRule="auto"/>
        <w:jc w:val="center"/>
        <w:rPr>
          <w:rFonts w:ascii="Franklin Gothic Book" w:hAnsi="Franklin Gothic Book"/>
          <w:sz w:val="20"/>
          <w:szCs w:val="20"/>
        </w:rPr>
      </w:pPr>
      <w:bookmarkStart w:id="0" w:name="_GoBack"/>
      <w:bookmarkEnd w:id="0"/>
      <w:r w:rsidRPr="00CD4DAC">
        <w:rPr>
          <w:rFonts w:ascii="Franklin Gothic Book" w:hAnsi="Franklin Gothic Book"/>
          <w:sz w:val="20"/>
          <w:szCs w:val="20"/>
        </w:rPr>
        <w:t>Adatkezelési tájékoztató</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36037EA3" w14:textId="4C44C988" w:rsidR="007A0EA7" w:rsidRPr="00CD4DAC" w:rsidRDefault="0027282E" w:rsidP="007A0EA7">
      <w:pPr>
        <w:pStyle w:val="NormlWeb"/>
        <w:spacing w:line="276" w:lineRule="auto"/>
        <w:jc w:val="center"/>
        <w:rPr>
          <w:rFonts w:ascii="Franklin Gothic Book" w:hAnsi="Franklin Gothic Book"/>
          <w:sz w:val="20"/>
          <w:szCs w:val="20"/>
        </w:rPr>
      </w:pPr>
      <w:proofErr w:type="gramStart"/>
      <w:r>
        <w:rPr>
          <w:rFonts w:ascii="Franklin Gothic Book" w:hAnsi="Franklin Gothic Book"/>
          <w:sz w:val="20"/>
          <w:szCs w:val="20"/>
        </w:rPr>
        <w:t>a</w:t>
      </w:r>
      <w:proofErr w:type="gramEnd"/>
      <w:r>
        <w:rPr>
          <w:rFonts w:ascii="Franklin Gothic Book" w:hAnsi="Franklin Gothic Book"/>
          <w:sz w:val="20"/>
          <w:szCs w:val="20"/>
        </w:rPr>
        <w:t xml:space="preserve"> Székesfehérvári SZC Bugát Pál Technikum</w:t>
      </w:r>
      <w:r w:rsidR="007A0EA7" w:rsidRPr="00CD4DAC">
        <w:rPr>
          <w:rFonts w:ascii="Franklin Gothic Book" w:hAnsi="Franklin Gothic Book"/>
          <w:sz w:val="20"/>
          <w:szCs w:val="20"/>
        </w:rPr>
        <w:t xml:space="preserve">  </w:t>
      </w:r>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788A1A1B" w:rsidR="007A0EA7" w:rsidRPr="00CD4DAC" w:rsidRDefault="00CD4DAC"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Név: …………………………………………………………….</w:t>
      </w:r>
    </w:p>
    <w:p w14:paraId="3A5E6885" w14:textId="6518679B"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Székhely: </w:t>
      </w:r>
      <w:r w:rsidR="00CD4DAC" w:rsidRPr="00CD4DAC">
        <w:rPr>
          <w:rFonts w:ascii="Franklin Gothic Book" w:hAnsi="Franklin Gothic Book"/>
          <w:sz w:val="20"/>
          <w:szCs w:val="20"/>
          <w:highlight w:val="yellow"/>
        </w:rPr>
        <w:t>…………………………………………………….</w:t>
      </w:r>
    </w:p>
    <w:p w14:paraId="52DC8477" w14:textId="27B9808A"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Postacím: </w:t>
      </w:r>
      <w:r w:rsidR="00CD4DAC" w:rsidRPr="00CD4DAC">
        <w:rPr>
          <w:rFonts w:ascii="Franklin Gothic Book" w:hAnsi="Franklin Gothic Book"/>
          <w:sz w:val="20"/>
          <w:szCs w:val="20"/>
          <w:highlight w:val="yellow"/>
        </w:rPr>
        <w:t>……………………………………………………</w:t>
      </w:r>
    </w:p>
    <w:p w14:paraId="70D2B460" w14:textId="12482763"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Telefon: </w:t>
      </w:r>
      <w:r w:rsidR="00CD4DAC" w:rsidRPr="00CD4DAC">
        <w:rPr>
          <w:rFonts w:ascii="Franklin Gothic Book" w:hAnsi="Franklin Gothic Book"/>
          <w:sz w:val="20"/>
          <w:szCs w:val="20"/>
          <w:highlight w:val="yellow"/>
        </w:rPr>
        <w:t>……………………………………………………….</w:t>
      </w:r>
    </w:p>
    <w:p w14:paraId="5E5EBD56" w14:textId="751BAC92"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E-mail cím: </w:t>
      </w:r>
      <w:hyperlink r:id="rId8" w:history="1">
        <w:r w:rsidR="00CD4DAC" w:rsidRPr="00CD4DAC">
          <w:rPr>
            <w:rStyle w:val="Hiperhivatkozs"/>
            <w:rFonts w:ascii="Franklin Gothic Book" w:hAnsi="Franklin Gothic Book"/>
            <w:sz w:val="20"/>
            <w:szCs w:val="20"/>
            <w:highlight w:val="yellow"/>
          </w:rPr>
          <w:t>……………………………………………………</w:t>
        </w:r>
      </w:hyperlink>
    </w:p>
    <w:p w14:paraId="73926CD2" w14:textId="573A3827" w:rsidR="007A0EA7" w:rsidRPr="00CD4DAC" w:rsidRDefault="007A0EA7" w:rsidP="007A0EA7">
      <w:pPr>
        <w:pStyle w:val="NormlWeb"/>
        <w:spacing w:line="276" w:lineRule="auto"/>
        <w:rPr>
          <w:rFonts w:ascii="Franklin Gothic Book" w:hAnsi="Franklin Gothic Book"/>
          <w:sz w:val="20"/>
          <w:szCs w:val="20"/>
        </w:rPr>
      </w:pPr>
      <w:r w:rsidRPr="00CD4DAC">
        <w:rPr>
          <w:rFonts w:ascii="Franklin Gothic Book" w:hAnsi="Franklin Gothic Book"/>
          <w:sz w:val="20"/>
          <w:szCs w:val="20"/>
          <w:highlight w:val="yellow"/>
        </w:rPr>
        <w:t>Az adatvédelmi tisztviselő elérhetősége</w:t>
      </w:r>
      <w:proofErr w:type="gramStart"/>
      <w:r w:rsidRPr="00CD4DAC">
        <w:rPr>
          <w:rFonts w:ascii="Franklin Gothic Book" w:hAnsi="Franklin Gothic Book"/>
          <w:sz w:val="20"/>
          <w:szCs w:val="20"/>
          <w:highlight w:val="yellow"/>
        </w:rPr>
        <w:t xml:space="preserve">: </w:t>
      </w:r>
      <w:r w:rsidR="00CD4DAC" w:rsidRPr="00CD4DAC">
        <w:rPr>
          <w:rFonts w:ascii="Franklin Gothic Book" w:hAnsi="Franklin Gothic Book"/>
          <w:sz w:val="20"/>
          <w:szCs w:val="20"/>
          <w:highlight w:val="yellow"/>
        </w:rPr>
        <w:t>…</w:t>
      </w:r>
      <w:proofErr w:type="gramEnd"/>
      <w:r w:rsidR="00CD4DAC" w:rsidRPr="00CD4DAC">
        <w:rPr>
          <w:rFonts w:ascii="Franklin Gothic Book" w:hAnsi="Franklin Gothic Book"/>
          <w:sz w:val="20"/>
          <w:szCs w:val="20"/>
          <w:highlight w:val="yellow"/>
        </w:rPr>
        <w:t>……………………………………(név, e-mail cím, telefonszám)</w:t>
      </w:r>
    </w:p>
    <w:p w14:paraId="27A4263C" w14:textId="2553219D" w:rsidR="007A0EA7" w:rsidRPr="00CD4DAC" w:rsidRDefault="007A0EA7" w:rsidP="005D1680">
      <w:pPr>
        <w:pStyle w:val="Default"/>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xml:space="preserve">.),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roofErr w:type="gramStart"/>
      <w:r w:rsidRPr="00CD4DAC">
        <w:rPr>
          <w:rFonts w:ascii="Franklin Gothic Book" w:eastAsiaTheme="minorHAnsi" w:hAnsi="Franklin Gothic Book" w:cs="Calibri"/>
          <w:b w:val="0"/>
          <w:bCs w:val="0"/>
          <w:kern w:val="0"/>
          <w:sz w:val="20"/>
          <w:szCs w:val="20"/>
        </w:rPr>
        <w:t>-  a</w:t>
      </w:r>
      <w:proofErr w:type="gramEnd"/>
      <w:r w:rsidRPr="00CD4DAC">
        <w:rPr>
          <w:rFonts w:ascii="Franklin Gothic Book" w:eastAsiaTheme="minorHAnsi" w:hAnsi="Franklin Gothic Book" w:cs="Calibri"/>
          <w:b w:val="0"/>
          <w:bCs w:val="0"/>
          <w:kern w:val="0"/>
          <w:sz w:val="20"/>
          <w:szCs w:val="20"/>
        </w:rPr>
        <w:t xml:space="preserve"> szakképzésről</w:t>
      </w:r>
      <w:hyperlink r:id="rId9"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w:t>
      </w:r>
      <w:proofErr w:type="spellStart"/>
      <w:r w:rsidRPr="00CD4DAC">
        <w:rPr>
          <w:rFonts w:ascii="Franklin Gothic Book" w:eastAsiaTheme="minorHAnsi" w:hAnsi="Franklin Gothic Book" w:cs="Calibri"/>
          <w:b w:val="0"/>
          <w:bCs w:val="0"/>
          <w:kern w:val="0"/>
          <w:sz w:val="20"/>
          <w:szCs w:val="20"/>
        </w:rPr>
        <w:t>Szkt</w:t>
      </w:r>
      <w:proofErr w:type="spellEnd"/>
      <w:r w:rsidRPr="00CD4DAC">
        <w:rPr>
          <w:rFonts w:ascii="Franklin Gothic Book" w:eastAsiaTheme="minorHAnsi" w:hAnsi="Franklin Gothic Book" w:cs="Calibri"/>
          <w:b w:val="0"/>
          <w:bCs w:val="0"/>
          <w:kern w:val="0"/>
          <w:sz w:val="20"/>
          <w:szCs w:val="20"/>
        </w:rPr>
        <w:t xml:space="preserve">.),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xml:space="preserve">- a szakképzésről szóló törvény végrehajtásáról szóló 12/2020. (II. 7.) Korm. rendeletben (a továbbiakban: </w:t>
      </w:r>
      <w:proofErr w:type="spellStart"/>
      <w:r w:rsidRPr="00CD4DAC">
        <w:rPr>
          <w:rFonts w:ascii="Franklin Gothic Book" w:eastAsiaTheme="minorHAnsi" w:hAnsi="Franklin Gothic Book" w:cs="Calibri"/>
          <w:b w:val="0"/>
          <w:bCs w:val="0"/>
          <w:kern w:val="0"/>
          <w:sz w:val="20"/>
          <w:szCs w:val="20"/>
        </w:rPr>
        <w:t>Szkr</w:t>
      </w:r>
      <w:proofErr w:type="spellEnd"/>
      <w:r w:rsidRPr="00CD4DAC">
        <w:rPr>
          <w:rFonts w:ascii="Franklin Gothic Book" w:eastAsiaTheme="minorHAnsi" w:hAnsi="Franklin Gothic Book" w:cs="Calibri"/>
          <w:b w:val="0"/>
          <w:bCs w:val="0"/>
          <w:kern w:val="0"/>
          <w:sz w:val="20"/>
          <w:szCs w:val="20"/>
        </w:rPr>
        <w:t>.)</w:t>
      </w:r>
    </w:p>
    <w:p w14:paraId="3D5043D2" w14:textId="249B821A"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7CDAE247" w14:textId="23DE72F9"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27ED7667" w14:textId="6028983C"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highlight w:val="yellow"/>
        </w:rPr>
        <w:t>- ………</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5366AE77" w14:textId="106510B0" w:rsidR="00BA0762" w:rsidRPr="00CD4DAC" w:rsidRDefault="002B6134"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rPr>
        <w:t>Az adatkezelés jogalapja</w:t>
      </w:r>
      <w:r w:rsidR="00657CEC" w:rsidRPr="00CD4DAC">
        <w:rPr>
          <w:rFonts w:ascii="Franklin Gothic Book" w:eastAsiaTheme="minorHAnsi" w:hAnsi="Franklin Gothic Book" w:cs="Calibri"/>
          <w:b w:val="0"/>
          <w:bCs w:val="0"/>
          <w:i/>
          <w:iCs/>
          <w:kern w:val="0"/>
          <w:sz w:val="20"/>
          <w:szCs w:val="20"/>
        </w:rPr>
        <w:t>:</w:t>
      </w:r>
      <w:r w:rsidRPr="00CD4DAC">
        <w:rPr>
          <w:rFonts w:ascii="Franklin Gothic Book" w:eastAsiaTheme="minorHAnsi" w:hAnsi="Franklin Gothic Book" w:cs="Calibri"/>
          <w:b w:val="0"/>
          <w:bCs w:val="0"/>
          <w:i/>
          <w:iCs/>
          <w:kern w:val="0"/>
          <w:sz w:val="20"/>
          <w:szCs w:val="20"/>
        </w:rPr>
        <w:t xml:space="preserve"> </w:t>
      </w:r>
    </w:p>
    <w:p w14:paraId="103DF014" w14:textId="62EE9FAA" w:rsidR="00FE3639" w:rsidRPr="00CD4DAC" w:rsidRDefault="00FE3639"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highlight w:val="yellow"/>
        </w:rPr>
        <w:t>………………………………………………………………………………………..</w:t>
      </w:r>
    </w:p>
    <w:p w14:paraId="5FC170C4" w14:textId="77777777" w:rsidR="00CD4DAC" w:rsidRPr="00CD4DAC" w:rsidRDefault="00CD4DAC" w:rsidP="009A1A3B">
      <w:pPr>
        <w:spacing w:line="300" w:lineRule="atLeast"/>
        <w:jc w:val="both"/>
        <w:rPr>
          <w:rFonts w:ascii="Franklin Gothic Book" w:hAnsi="Franklin Gothic Book" w:cs="Calibri"/>
          <w:color w:val="222222"/>
          <w:sz w:val="20"/>
          <w:szCs w:val="20"/>
          <w:highlight w:val="yellow"/>
          <w:shd w:val="clear" w:color="auto" w:fill="FFFFFF"/>
        </w:rPr>
      </w:pP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6A6B2FB6" w14:textId="77777777" w:rsidR="00FE3639" w:rsidRPr="00CD4DAC" w:rsidRDefault="00FE3639" w:rsidP="00542DD0">
      <w:pPr>
        <w:pStyle w:val="NormlWeb"/>
        <w:jc w:val="both"/>
        <w:rPr>
          <w:rFonts w:ascii="Franklin Gothic Book" w:hAnsi="Franklin Gothic Book"/>
          <w:sz w:val="20"/>
          <w:szCs w:val="20"/>
        </w:rPr>
      </w:pPr>
      <w:r w:rsidRPr="00CD4DAC">
        <w:rPr>
          <w:rFonts w:ascii="Franklin Gothic Book" w:hAnsi="Franklin Gothic Book"/>
          <w:sz w:val="20"/>
          <w:szCs w:val="20"/>
          <w:highlight w:val="yellow"/>
        </w:rPr>
        <w:t>…………………………………………………………………………………………</w:t>
      </w:r>
    </w:p>
    <w:p w14:paraId="4B5595E1" w14:textId="77777777" w:rsidR="001C6972" w:rsidRPr="00CD4DAC" w:rsidRDefault="001C6972" w:rsidP="007A0EA7">
      <w:pPr>
        <w:pStyle w:val="NormlWeb"/>
        <w:spacing w:line="276" w:lineRule="auto"/>
        <w:rPr>
          <w:rFonts w:ascii="Franklin Gothic Book" w:hAnsi="Franklin Gothic Book"/>
          <w:sz w:val="20"/>
          <w:szCs w:val="20"/>
        </w:rPr>
      </w:pP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w:t>
      </w:r>
      <w:proofErr w:type="gramStart"/>
      <w:r w:rsidRPr="00CD4DAC">
        <w:rPr>
          <w:rFonts w:ascii="Franklin Gothic Book" w:hAnsi="Franklin Gothic Book"/>
          <w:b/>
          <w:bCs/>
          <w:sz w:val="20"/>
          <w:szCs w:val="20"/>
        </w:rPr>
        <w:t>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proofErr w:type="gramEnd"/>
      <w:r w:rsidR="00BA0762" w:rsidRPr="00CD4DAC">
        <w:rPr>
          <w:rFonts w:ascii="Franklin Gothic Book" w:hAnsi="Franklin Gothic Book"/>
          <w:color w:val="212121"/>
          <w:sz w:val="20"/>
          <w:szCs w:val="20"/>
          <w:shd w:val="clear" w:color="auto" w:fill="FFFFFF"/>
        </w:rPr>
        <w:t xml:space="preserve">előjelentkezési </w:t>
      </w:r>
      <w:proofErr w:type="spellStart"/>
      <w:r w:rsidR="00BA0762" w:rsidRPr="00CD4DAC">
        <w:rPr>
          <w:rFonts w:ascii="Franklin Gothic Book" w:hAnsi="Franklin Gothic Book"/>
          <w:color w:val="212121"/>
          <w:sz w:val="20"/>
          <w:szCs w:val="20"/>
          <w:shd w:val="clear" w:color="auto" w:fill="FFFFFF"/>
        </w:rPr>
        <w:t>formon</w:t>
      </w:r>
      <w:proofErr w:type="spellEnd"/>
      <w:r w:rsidR="00BA0762" w:rsidRPr="00CD4DAC">
        <w:rPr>
          <w:rFonts w:ascii="Franklin Gothic Book" w:hAnsi="Franklin Gothic Book"/>
          <w:color w:val="212121"/>
          <w:sz w:val="20"/>
          <w:szCs w:val="20"/>
          <w:shd w:val="clear" w:color="auto" w:fill="FFFFFF"/>
        </w:rPr>
        <w:t xml:space="preserve">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36FF6EDE" w:rsidR="002B6134" w:rsidRPr="00CD4DAC"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75E067CB" w14:textId="77777777" w:rsidR="00CD4DAC" w:rsidRPr="00CD4DAC" w:rsidRDefault="00F92D34" w:rsidP="008979D8">
      <w:pPr>
        <w:spacing w:line="300" w:lineRule="atLeast"/>
        <w:ind w:firstLine="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r w:rsidR="00CD4DAC" w:rsidRPr="00CD4DAC">
        <w:rPr>
          <w:rFonts w:ascii="Franklin Gothic Book" w:hAnsi="Franklin Gothic Book" w:cs="Calibri"/>
          <w:sz w:val="20"/>
          <w:szCs w:val="20"/>
          <w:lang w:eastAsia="hu-HU"/>
        </w:rPr>
        <w:t xml:space="preserve">: </w:t>
      </w:r>
      <w:r w:rsidR="00CD4DAC" w:rsidRPr="00CD4DAC">
        <w:rPr>
          <w:rFonts w:ascii="Franklin Gothic Book" w:hAnsi="Franklin Gothic Book" w:cs="Calibri"/>
          <w:sz w:val="20"/>
          <w:szCs w:val="20"/>
          <w:highlight w:val="yellow"/>
          <w:lang w:eastAsia="hu-HU"/>
        </w:rPr>
        <w:t>………………………………………………………………………………….</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71380F26"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Az adataihoz a</w:t>
      </w:r>
      <w:r w:rsidR="007D339D">
        <w:rPr>
          <w:rFonts w:ascii="Franklin Gothic Book" w:hAnsi="Franklin Gothic Book" w:cs="Calibri"/>
          <w:sz w:val="20"/>
          <w:szCs w:val="20"/>
          <w:lang w:eastAsia="hu-HU"/>
        </w:rPr>
        <w:t xml:space="preserve">z Intézmény </w:t>
      </w:r>
      <w:r w:rsidRPr="00CD4DAC">
        <w:rPr>
          <w:rFonts w:ascii="Franklin Gothic Book" w:hAnsi="Franklin Gothic Book" w:cs="Calibri"/>
          <w:sz w:val="20"/>
          <w:szCs w:val="20"/>
          <w:lang w:eastAsia="hu-HU"/>
        </w:rPr>
        <w:t>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C3AF0E4"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A</w:t>
      </w:r>
      <w:r w:rsidR="007D339D">
        <w:rPr>
          <w:rFonts w:ascii="Franklin Gothic Book" w:hAnsi="Franklin Gothic Book" w:cs="Calibri"/>
          <w:sz w:val="20"/>
          <w:szCs w:val="20"/>
          <w:lang w:eastAsia="hu-HU"/>
        </w:rPr>
        <w:t xml:space="preserve">z Intézmény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0403EA1" w14:textId="00F76074" w:rsidR="002B6134" w:rsidRPr="00CD4DAC" w:rsidRDefault="002B6134"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(ITM,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2D3C04C1" w14:textId="5C913599" w:rsidR="00CD4DAC" w:rsidRPr="00CD4DAC" w:rsidRDefault="00CD4DAC"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49C211C9" w14:textId="1F594125" w:rsidR="00CD4DAC" w:rsidRPr="00CD4DAC" w:rsidRDefault="00CD4DAC"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highlight w:val="yellow"/>
        </w:rPr>
        <w:t>- …………..</w:t>
      </w:r>
    </w:p>
    <w:p w14:paraId="013D52B7" w14:textId="289ADF51" w:rsidR="007A0EA7" w:rsidRPr="00CD4DAC" w:rsidRDefault="007A0EA7" w:rsidP="00100A50">
      <w:pPr>
        <w:pStyle w:val="Default"/>
        <w:ind w:left="142"/>
        <w:rPr>
          <w:rFonts w:ascii="Franklin Gothic Book" w:hAnsi="Franklin Gothic Book" w:cs="Calibri"/>
          <w:color w:val="auto"/>
          <w:sz w:val="20"/>
          <w:szCs w:val="20"/>
          <w:lang w:eastAsia="hu-HU"/>
        </w:rPr>
      </w:pP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BD5926D"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7D339D">
        <w:rPr>
          <w:rFonts w:ascii="Franklin Gothic Book" w:hAnsi="Franklin Gothic Book"/>
          <w:sz w:val="20"/>
          <w:szCs w:val="20"/>
        </w:rPr>
        <w:t xml:space="preserve">z Intézmény </w:t>
      </w:r>
      <w:r w:rsidRPr="00CD4DAC">
        <w:rPr>
          <w:rFonts w:ascii="Franklin Gothic Book" w:hAnsi="Franklin Gothic Book"/>
          <w:sz w:val="20"/>
          <w:szCs w:val="20"/>
        </w:rPr>
        <w:t xml:space="preserve">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5D43FA35" w:rsidR="00257539" w:rsidRPr="005D5540" w:rsidRDefault="00F654AF" w:rsidP="00F654AF">
      <w:pPr>
        <w:pStyle w:val="NormlWeb"/>
        <w:jc w:val="both"/>
        <w:rPr>
          <w:rFonts w:ascii="Franklin Gothic Book" w:hAnsi="Franklin Gothic Book"/>
          <w:color w:val="FF0000"/>
          <w:sz w:val="20"/>
          <w:szCs w:val="20"/>
        </w:rPr>
      </w:pPr>
      <w:r w:rsidRPr="00CD4DAC">
        <w:rPr>
          <w:rFonts w:ascii="Franklin Gothic Book" w:hAnsi="Franklin Gothic Book"/>
          <w:sz w:val="20"/>
          <w:szCs w:val="20"/>
          <w:highlight w:val="yellow"/>
        </w:rPr>
        <w:t>Tájékoztatjuk, hogy az adatkezelések során nem</w:t>
      </w:r>
      <w:r w:rsidR="005D5540">
        <w:rPr>
          <w:rFonts w:ascii="Franklin Gothic Book" w:hAnsi="Franklin Gothic Book"/>
          <w:sz w:val="20"/>
          <w:szCs w:val="20"/>
          <w:highlight w:val="yellow"/>
        </w:rPr>
        <w:t xml:space="preserve"> </w:t>
      </w:r>
      <w:r w:rsidRPr="00CD4DAC">
        <w:rPr>
          <w:rFonts w:ascii="Franklin Gothic Book" w:hAnsi="Franklin Gothic Book"/>
          <w:sz w:val="20"/>
          <w:szCs w:val="20"/>
          <w:highlight w:val="yellow"/>
        </w:rPr>
        <w:t>történik személyes adatai alapján automatizált döntéshozatal, profilalkotás</w:t>
      </w:r>
      <w:r w:rsidRPr="005D5540">
        <w:rPr>
          <w:rFonts w:ascii="Franklin Gothic Book" w:hAnsi="Franklin Gothic Book"/>
          <w:sz w:val="20"/>
          <w:szCs w:val="20"/>
          <w:highlight w:val="yellow"/>
        </w:rPr>
        <w:t xml:space="preserve">. </w:t>
      </w:r>
      <w:r w:rsidR="005D5540" w:rsidRPr="005D5540">
        <w:rPr>
          <w:rFonts w:ascii="Franklin Gothic Book" w:hAnsi="Franklin Gothic Book"/>
          <w:color w:val="FF0000"/>
          <w:sz w:val="20"/>
          <w:szCs w:val="20"/>
          <w:highlight w:val="yellow"/>
        </w:rPr>
        <w:t>(Amennyiben ilyen történik, azt szíveskedjenek a tájékoztatóba belefoglalni.)</w:t>
      </w:r>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w:t>
      </w:r>
      <w:proofErr w:type="gramStart"/>
      <w:r w:rsidRPr="00CD4DAC">
        <w:rPr>
          <w:rFonts w:ascii="Franklin Gothic Book" w:hAnsi="Franklin Gothic Book"/>
          <w:sz w:val="20"/>
          <w:szCs w:val="20"/>
        </w:rPr>
        <w:t>információt</w:t>
      </w:r>
      <w:proofErr w:type="gramEnd"/>
      <w:r w:rsidRPr="00CD4DAC">
        <w:rPr>
          <w:rFonts w:ascii="Franklin Gothic Book" w:hAnsi="Franklin Gothic Book"/>
          <w:sz w:val="20"/>
          <w:szCs w:val="20"/>
        </w:rPr>
        <w:t xml:space="preserve"> nyújt az érintett részére az adatkezelés körülményeiről, vagyis többek közt arról, hogy az érintett személyes adatait ki, milyen célból, milyen alapon és meddig kezeli, valamint, hogy érintettet az adatkezeléssel összefüggésben milyen jogok illetik meg, illetve</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 helyesbítéséhez való jog  (GDPR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   (GDPR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w:t>
      </w:r>
      <w:proofErr w:type="gramStart"/>
      <w:r w:rsidRPr="00CD4DAC">
        <w:rPr>
          <w:rFonts w:ascii="Franklin Gothic Book" w:hAnsi="Franklin Gothic Book"/>
          <w:i/>
          <w:iCs/>
          <w:sz w:val="20"/>
          <w:szCs w:val="20"/>
        </w:rPr>
        <w:t xml:space="preserve">tájékoztatás  </w:t>
      </w:r>
      <w:r w:rsidRPr="00CD4DAC">
        <w:rPr>
          <w:rFonts w:ascii="Franklin Gothic Book" w:eastAsiaTheme="minorHAnsi" w:hAnsi="Franklin Gothic Book" w:cstheme="minorBidi"/>
          <w:i/>
          <w:iCs/>
          <w:sz w:val="20"/>
          <w:szCs w:val="20"/>
          <w:lang w:eastAsia="en-US"/>
        </w:rPr>
        <w:t>(</w:t>
      </w:r>
      <w:proofErr w:type="gramEnd"/>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lastRenderedPageBreak/>
        <w:t xml:space="preserve">Tiltakozáshoz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továbbá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47EC1" w14:textId="77777777" w:rsidR="006D2375" w:rsidRDefault="006D2375" w:rsidP="00100A50">
      <w:pPr>
        <w:spacing w:after="0" w:line="240" w:lineRule="auto"/>
      </w:pPr>
      <w:r>
        <w:separator/>
      </w:r>
    </w:p>
  </w:endnote>
  <w:endnote w:type="continuationSeparator" w:id="0">
    <w:p w14:paraId="0A53C977" w14:textId="77777777" w:rsidR="006D2375" w:rsidRDefault="006D2375"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9EDD9" w14:textId="77777777" w:rsidR="006D2375" w:rsidRDefault="006D2375" w:rsidP="00100A50">
      <w:pPr>
        <w:spacing w:after="0" w:line="240" w:lineRule="auto"/>
      </w:pPr>
      <w:r>
        <w:separator/>
      </w:r>
    </w:p>
  </w:footnote>
  <w:footnote w:type="continuationSeparator" w:id="0">
    <w:p w14:paraId="01C2F10D" w14:textId="77777777" w:rsidR="006D2375" w:rsidRDefault="006D2375"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3"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1"/>
  </w:num>
  <w:num w:numId="3">
    <w:abstractNumId w:val="8"/>
  </w:num>
  <w:num w:numId="4">
    <w:abstractNumId w:val="6"/>
  </w:num>
  <w:num w:numId="5">
    <w:abstractNumId w:val="13"/>
  </w:num>
  <w:num w:numId="6">
    <w:abstractNumId w:val="12"/>
  </w:num>
  <w:num w:numId="7">
    <w:abstractNumId w:val="5"/>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9"/>
  </w:num>
  <w:num w:numId="13">
    <w:abstractNumId w:val="10"/>
  </w:num>
  <w:num w:numId="14">
    <w:abstractNumId w:val="15"/>
  </w:num>
  <w:num w:numId="15">
    <w:abstractNumId w:val="21"/>
  </w:num>
  <w:num w:numId="16">
    <w:abstractNumId w:val="17"/>
  </w:num>
  <w:num w:numId="17">
    <w:abstractNumId w:val="3"/>
  </w:num>
  <w:num w:numId="18">
    <w:abstractNumId w:val="24"/>
  </w:num>
  <w:num w:numId="19">
    <w:abstractNumId w:val="20"/>
  </w:num>
  <w:num w:numId="20">
    <w:abstractNumId w:val="19"/>
  </w:num>
  <w:num w:numId="21">
    <w:abstractNumId w:val="14"/>
  </w:num>
  <w:num w:numId="22">
    <w:abstractNumId w:val="22"/>
  </w:num>
  <w:num w:numId="23">
    <w:abstractNumId w:val="18"/>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80"/>
    <w:rsid w:val="00042124"/>
    <w:rsid w:val="00042448"/>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7282E"/>
    <w:rsid w:val="002B0154"/>
    <w:rsid w:val="002B6134"/>
    <w:rsid w:val="003053ED"/>
    <w:rsid w:val="00333D3B"/>
    <w:rsid w:val="00342AE7"/>
    <w:rsid w:val="00385704"/>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B0536"/>
    <w:rsid w:val="005D1680"/>
    <w:rsid w:val="005D5540"/>
    <w:rsid w:val="005E6E27"/>
    <w:rsid w:val="005F3ED3"/>
    <w:rsid w:val="0060307E"/>
    <w:rsid w:val="00614F0C"/>
    <w:rsid w:val="006356F1"/>
    <w:rsid w:val="00647D30"/>
    <w:rsid w:val="00656B0D"/>
    <w:rsid w:val="00657CEC"/>
    <w:rsid w:val="0067552C"/>
    <w:rsid w:val="006B33C8"/>
    <w:rsid w:val="006B490A"/>
    <w:rsid w:val="006B77EC"/>
    <w:rsid w:val="006D2375"/>
    <w:rsid w:val="006E20F7"/>
    <w:rsid w:val="006F0EAC"/>
    <w:rsid w:val="00744A71"/>
    <w:rsid w:val="007A0EA7"/>
    <w:rsid w:val="007A3A93"/>
    <w:rsid w:val="007B3647"/>
    <w:rsid w:val="007D339D"/>
    <w:rsid w:val="007F5FAE"/>
    <w:rsid w:val="008409FF"/>
    <w:rsid w:val="0087321D"/>
    <w:rsid w:val="00883B14"/>
    <w:rsid w:val="008979D8"/>
    <w:rsid w:val="008B5C82"/>
    <w:rsid w:val="008D3103"/>
    <w:rsid w:val="00950FE7"/>
    <w:rsid w:val="00971649"/>
    <w:rsid w:val="00995E27"/>
    <w:rsid w:val="009A1A3B"/>
    <w:rsid w:val="009B09EE"/>
    <w:rsid w:val="009E2674"/>
    <w:rsid w:val="00A2623F"/>
    <w:rsid w:val="00A329D9"/>
    <w:rsid w:val="00A7372B"/>
    <w:rsid w:val="00AA3194"/>
    <w:rsid w:val="00AB3737"/>
    <w:rsid w:val="00AF71CA"/>
    <w:rsid w:val="00B5046E"/>
    <w:rsid w:val="00B72F92"/>
    <w:rsid w:val="00B91BF5"/>
    <w:rsid w:val="00BA0762"/>
    <w:rsid w:val="00BA1075"/>
    <w:rsid w:val="00BB7A37"/>
    <w:rsid w:val="00BC533C"/>
    <w:rsid w:val="00BE7127"/>
    <w:rsid w:val="00C23FF2"/>
    <w:rsid w:val="00C74400"/>
    <w:rsid w:val="00CC0D79"/>
    <w:rsid w:val="00CC2FFB"/>
    <w:rsid w:val="00CD4DAC"/>
    <w:rsid w:val="00CD5F15"/>
    <w:rsid w:val="00D44B4E"/>
    <w:rsid w:val="00D7512B"/>
    <w:rsid w:val="00D975B4"/>
    <w:rsid w:val="00DE7F81"/>
    <w:rsid w:val="00E5546B"/>
    <w:rsid w:val="00E7505F"/>
    <w:rsid w:val="00EF01B0"/>
    <w:rsid w:val="00EF5EAF"/>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da@ikk.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t.jogtar.hu/jogszabaly?docid=a1900080.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F8BA-8654-4635-8A82-7C48E716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1608</Words>
  <Characters>11098</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Horog Attila</cp:lastModifiedBy>
  <cp:revision>4</cp:revision>
  <cp:lastPrinted>2021-02-03T12:34:00Z</cp:lastPrinted>
  <dcterms:created xsi:type="dcterms:W3CDTF">2021-08-12T13:07:00Z</dcterms:created>
  <dcterms:modified xsi:type="dcterms:W3CDTF">2021-12-17T13:26:00Z</dcterms:modified>
</cp:coreProperties>
</file>